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c346f"/>
          <w:sz w:val="20"/>
          <w:szCs w:val="20"/>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1581150</wp:posOffset>
            </wp:positionH>
            <wp:positionV relativeFrom="paragraph">
              <wp:posOffset>19050</wp:posOffset>
            </wp:positionV>
            <wp:extent cx="5063384" cy="6284022"/>
            <wp:effectExtent b="404028" l="523723" r="523723" t="404028"/>
            <wp:wrapNone/>
            <wp:docPr id="1" name="image1.png"/>
            <a:graphic>
              <a:graphicData uri="http://schemas.openxmlformats.org/drawingml/2006/picture">
                <pic:pic>
                  <pic:nvPicPr>
                    <pic:cNvPr id="0" name="image1.png"/>
                    <pic:cNvPicPr preferRelativeResize="0"/>
                  </pic:nvPicPr>
                  <pic:blipFill>
                    <a:blip r:embed="rId6">
                      <a:alphaModFix amt="17000"/>
                    </a:blip>
                    <a:srcRect b="0" l="0" r="0" t="0"/>
                    <a:stretch>
                      <a:fillRect/>
                    </a:stretch>
                  </pic:blipFill>
                  <pic:spPr>
                    <a:xfrm rot="621550">
                      <a:off x="0" y="0"/>
                      <a:ext cx="5063384" cy="6284022"/>
                    </a:xfrm>
                    <a:prstGeom prst="rect"/>
                    <a:ln/>
                  </pic:spPr>
                </pic:pic>
              </a:graphicData>
            </a:graphic>
          </wp:anchor>
        </w:drawing>
      </w:r>
    </w:p>
    <w:tbl>
      <w:tblPr>
        <w:tblStyle w:val="Table1"/>
        <w:tblW w:w="1434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295"/>
        <w:gridCol w:w="2970"/>
        <w:gridCol w:w="9075"/>
        <w:tblGridChange w:id="0">
          <w:tblGrid>
            <w:gridCol w:w="2295"/>
            <w:gridCol w:w="2970"/>
            <w:gridCol w:w="9075"/>
          </w:tblGrid>
        </w:tblGridChange>
      </w:tblGrid>
      <w:tr>
        <w:trPr>
          <w:cantSplit w:val="0"/>
          <w:trHeight w:val="600" w:hRule="atLeast"/>
          <w:tblHeader w:val="0"/>
        </w:trPr>
        <w:tc>
          <w:tcPr>
            <w:tcBorders>
              <w:left w:color="000000" w:space="0" w:sz="0" w:val="nil"/>
              <w:right w:color="000000" w:space="0" w:sz="0" w:val="nil"/>
            </w:tcBorders>
            <w:shd w:fill="0b5394" w:val="clear"/>
            <w:tcMar>
              <w:top w:w="140.0" w:type="dxa"/>
              <w:left w:w="140.0" w:type="dxa"/>
              <w:bottom w:w="140.0" w:type="dxa"/>
              <w:right w:w="140.0" w:type="dxa"/>
            </w:tcMar>
            <w:vAlign w:val="top"/>
          </w:tcPr>
          <w:p w:rsidR="00000000" w:rsidDel="00000000" w:rsidP="00000000" w:rsidRDefault="00000000" w:rsidRPr="00000000" w14:paraId="00000002">
            <w:pPr>
              <w:widowControl w:val="0"/>
              <w:spacing w:after="0" w:line="276" w:lineRule="auto"/>
              <w:rPr>
                <w:b w:val="1"/>
                <w:color w:val="ffffff"/>
                <w:sz w:val="23"/>
                <w:szCs w:val="23"/>
              </w:rPr>
            </w:pPr>
            <w:r w:rsidDel="00000000" w:rsidR="00000000" w:rsidRPr="00000000">
              <w:rPr>
                <w:b w:val="1"/>
                <w:color w:val="ffffff"/>
                <w:sz w:val="23"/>
                <w:szCs w:val="23"/>
                <w:rtl w:val="0"/>
              </w:rPr>
              <w:t xml:space="preserve">Class</w:t>
            </w:r>
          </w:p>
        </w:tc>
        <w:tc>
          <w:tcPr>
            <w:tcBorders>
              <w:left w:color="000000" w:space="0" w:sz="0" w:val="nil"/>
              <w:right w:color="000000" w:space="0" w:sz="0" w:val="nil"/>
            </w:tcBorders>
            <w:shd w:fill="0b5394" w:val="clear"/>
            <w:tcMar>
              <w:top w:w="140.0" w:type="dxa"/>
              <w:left w:w="140.0" w:type="dxa"/>
              <w:bottom w:w="140.0" w:type="dxa"/>
              <w:right w:w="140.0" w:type="dxa"/>
            </w:tcMar>
            <w:vAlign w:val="top"/>
          </w:tcPr>
          <w:p w:rsidR="00000000" w:rsidDel="00000000" w:rsidP="00000000" w:rsidRDefault="00000000" w:rsidRPr="00000000" w14:paraId="00000003">
            <w:pPr>
              <w:widowControl w:val="0"/>
              <w:spacing w:after="0" w:line="276" w:lineRule="auto"/>
              <w:rPr>
                <w:b w:val="1"/>
                <w:color w:val="ffffff"/>
                <w:sz w:val="23"/>
                <w:szCs w:val="23"/>
              </w:rPr>
            </w:pPr>
            <w:r w:rsidDel="00000000" w:rsidR="00000000" w:rsidRPr="00000000">
              <w:rPr>
                <w:b w:val="1"/>
                <w:color w:val="ffffff"/>
                <w:sz w:val="23"/>
                <w:szCs w:val="23"/>
                <w:rtl w:val="0"/>
              </w:rPr>
              <w:t xml:space="preserve">Teacher</w:t>
            </w:r>
          </w:p>
        </w:tc>
        <w:tc>
          <w:tcPr>
            <w:tcBorders>
              <w:left w:color="000000" w:space="0" w:sz="0" w:val="nil"/>
              <w:right w:color="000000" w:space="0" w:sz="0" w:val="nil"/>
            </w:tcBorders>
            <w:shd w:fill="0b5394" w:val="clear"/>
            <w:tcMar>
              <w:top w:w="140.0" w:type="dxa"/>
              <w:left w:w="140.0" w:type="dxa"/>
              <w:bottom w:w="140.0" w:type="dxa"/>
              <w:right w:w="140.0" w:type="dxa"/>
            </w:tcMar>
            <w:vAlign w:val="top"/>
          </w:tcPr>
          <w:p w:rsidR="00000000" w:rsidDel="00000000" w:rsidP="00000000" w:rsidRDefault="00000000" w:rsidRPr="00000000" w14:paraId="00000004">
            <w:pPr>
              <w:widowControl w:val="0"/>
              <w:spacing w:after="0" w:line="276" w:lineRule="auto"/>
              <w:rPr>
                <w:b w:val="1"/>
                <w:color w:val="ffffff"/>
                <w:sz w:val="23"/>
                <w:szCs w:val="23"/>
              </w:rPr>
            </w:pPr>
            <w:r w:rsidDel="00000000" w:rsidR="00000000" w:rsidRPr="00000000">
              <w:rPr>
                <w:b w:val="1"/>
                <w:color w:val="ffffff"/>
                <w:sz w:val="23"/>
                <w:szCs w:val="23"/>
                <w:rtl w:val="0"/>
              </w:rPr>
              <w:t xml:space="preserve">What We Do</w:t>
            </w:r>
          </w:p>
        </w:tc>
      </w:tr>
      <w:tr>
        <w:trPr>
          <w:cantSplit w:val="0"/>
          <w:trHeight w:val="1721.86523437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5">
            <w:pPr>
              <w:widowControl w:val="0"/>
              <w:spacing w:line="276" w:lineRule="auto"/>
              <w:rPr>
                <w:color w:val="0c346f"/>
                <w:sz w:val="23"/>
                <w:szCs w:val="23"/>
              </w:rPr>
            </w:pPr>
            <w:r w:rsidDel="00000000" w:rsidR="00000000" w:rsidRPr="00000000">
              <w:rPr>
                <w:b w:val="1"/>
                <w:color w:val="0c346f"/>
                <w:sz w:val="23"/>
                <w:szCs w:val="23"/>
                <w:rtl w:val="0"/>
              </w:rPr>
              <w:t xml:space="preserve">Art Survey </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6">
            <w:pPr>
              <w:widowControl w:val="0"/>
              <w:spacing w:after="0" w:line="276" w:lineRule="auto"/>
              <w:rPr>
                <w:color w:val="0c346f"/>
                <w:sz w:val="23"/>
                <w:szCs w:val="23"/>
              </w:rPr>
            </w:pPr>
            <w:r w:rsidDel="00000000" w:rsidR="00000000" w:rsidRPr="00000000">
              <w:rPr>
                <w:color w:val="0c346f"/>
                <w:sz w:val="23"/>
                <w:szCs w:val="23"/>
                <w:rtl w:val="0"/>
              </w:rPr>
              <w:t xml:space="preserve">Ms. Rutherford &amp; Ms. Hall</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7">
            <w:pPr>
              <w:widowControl w:val="0"/>
              <w:spacing w:after="0" w:line="276" w:lineRule="auto"/>
              <w:rPr>
                <w:color w:val="073763"/>
                <w:sz w:val="23"/>
                <w:szCs w:val="23"/>
              </w:rPr>
            </w:pPr>
            <w:r w:rsidDel="00000000" w:rsidR="00000000" w:rsidRPr="00000000">
              <w:rPr>
                <w:color w:val="073763"/>
                <w:sz w:val="23"/>
                <w:szCs w:val="23"/>
                <w:rtl w:val="0"/>
              </w:rPr>
              <w:t xml:space="preserve">Students will explore a wide range of art media and techniques in this quarter long class. In this class, students will </w:t>
            </w:r>
            <w:r w:rsidDel="00000000" w:rsidR="00000000" w:rsidRPr="00000000">
              <w:rPr>
                <w:color w:val="073763"/>
                <w:sz w:val="23"/>
                <w:szCs w:val="23"/>
                <w:rtl w:val="0"/>
              </w:rPr>
              <w:t xml:space="preserve">engage in the art making processes of creating two-dimensional and three-dimensional works, which may include: drawing, painting, printmaking, collage, and sculpture and/or clay. </w:t>
            </w:r>
            <w:r w:rsidDel="00000000" w:rsidR="00000000" w:rsidRPr="00000000">
              <w:rPr>
                <w:rtl w:val="0"/>
              </w:rPr>
            </w:r>
          </w:p>
        </w:tc>
      </w:tr>
      <w:tr>
        <w:trPr>
          <w:cantSplit w:val="0"/>
          <w:trHeight w:val="762.97851562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8">
            <w:pPr>
              <w:widowControl w:val="0"/>
              <w:spacing w:after="0" w:line="276" w:lineRule="auto"/>
              <w:rPr>
                <w:b w:val="1"/>
                <w:color w:val="0c346f"/>
                <w:sz w:val="23"/>
                <w:szCs w:val="23"/>
              </w:rPr>
            </w:pPr>
            <w:r w:rsidDel="00000000" w:rsidR="00000000" w:rsidRPr="00000000">
              <w:rPr>
                <w:b w:val="1"/>
                <w:color w:val="0c346f"/>
                <w:sz w:val="23"/>
                <w:szCs w:val="23"/>
                <w:rtl w:val="0"/>
              </w:rPr>
              <w:t xml:space="preserve">Band</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9">
            <w:pPr>
              <w:widowControl w:val="0"/>
              <w:spacing w:after="0" w:line="276" w:lineRule="auto"/>
              <w:rPr>
                <w:color w:val="0c346f"/>
                <w:sz w:val="23"/>
                <w:szCs w:val="23"/>
              </w:rPr>
            </w:pPr>
            <w:r w:rsidDel="00000000" w:rsidR="00000000" w:rsidRPr="00000000">
              <w:rPr>
                <w:color w:val="0c346f"/>
                <w:sz w:val="23"/>
                <w:szCs w:val="23"/>
                <w:rtl w:val="0"/>
              </w:rPr>
              <w:t xml:space="preserve">Mr. MacTavish, Mrs. Duden, &amp; Mr. Winchester</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A">
            <w:pPr>
              <w:widowControl w:val="0"/>
              <w:spacing w:after="0" w:line="276" w:lineRule="auto"/>
              <w:rPr>
                <w:color w:val="0c346f"/>
                <w:sz w:val="23"/>
                <w:szCs w:val="23"/>
              </w:rPr>
            </w:pPr>
            <w:r w:rsidDel="00000000" w:rsidR="00000000" w:rsidRPr="00000000">
              <w:rPr>
                <w:color w:val="0c346f"/>
                <w:sz w:val="23"/>
                <w:szCs w:val="23"/>
                <w:rtl w:val="0"/>
              </w:rPr>
              <w:t xml:space="preserve">Band is a full year performance based class with no experience required. Instruments include flute, clarinet, saxophone, trumpet, horn, trombone, baritone, tuba, and percussion. Students learn the fundamentals of playing an instrument. Students showcase their talents by performing in concerts and compete as part of an ensemble and individually.</w:t>
            </w:r>
            <w:r w:rsidDel="00000000" w:rsidR="00000000" w:rsidRPr="00000000">
              <w:rPr>
                <w:rtl w:val="0"/>
              </w:rPr>
            </w:r>
          </w:p>
        </w:tc>
      </w:tr>
      <w:tr>
        <w:trPr>
          <w:cantSplit w:val="0"/>
          <w:trHeight w:val="762.97851562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B">
            <w:pPr>
              <w:widowControl w:val="0"/>
              <w:spacing w:line="276" w:lineRule="auto"/>
              <w:rPr>
                <w:b w:val="1"/>
                <w:color w:val="0c346f"/>
                <w:sz w:val="23"/>
                <w:szCs w:val="23"/>
              </w:rPr>
            </w:pPr>
            <w:r w:rsidDel="00000000" w:rsidR="00000000" w:rsidRPr="00000000">
              <w:rPr>
                <w:b w:val="1"/>
                <w:color w:val="0c346f"/>
                <w:sz w:val="23"/>
                <w:szCs w:val="23"/>
                <w:rtl w:val="0"/>
              </w:rPr>
              <w:t xml:space="preserve">Career Awareness</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C">
            <w:pPr>
              <w:widowControl w:val="0"/>
              <w:spacing w:line="276" w:lineRule="auto"/>
              <w:rPr>
                <w:color w:val="0c346f"/>
                <w:sz w:val="23"/>
                <w:szCs w:val="23"/>
              </w:rPr>
            </w:pPr>
            <w:r w:rsidDel="00000000" w:rsidR="00000000" w:rsidRPr="00000000">
              <w:rPr>
                <w:color w:val="0c346f"/>
                <w:sz w:val="23"/>
                <w:szCs w:val="23"/>
                <w:rtl w:val="0"/>
              </w:rPr>
              <w:t xml:space="preserve">Mr. Fogarty &amp; Mr. Huettel</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D">
            <w:pPr>
              <w:spacing w:line="276" w:lineRule="auto"/>
              <w:rPr>
                <w:color w:val="0c346f"/>
                <w:sz w:val="23"/>
                <w:szCs w:val="23"/>
              </w:rPr>
            </w:pPr>
            <w:r w:rsidDel="00000000" w:rsidR="00000000" w:rsidRPr="00000000">
              <w:rPr>
                <w:color w:val="0c346f"/>
                <w:sz w:val="23"/>
                <w:szCs w:val="23"/>
                <w:rtl w:val="0"/>
              </w:rPr>
              <w:t xml:space="preserve">Career Awareness is an introductory course designed to build foundational knowledge of career opportunities through: (a) examining key characteristics evident in successful leaders; (b) connecting academic aptitude and personal strengths to postsecondary and career success; and (c) bringing awareness to career availability in various contexts.</w:t>
            </w:r>
            <w:r w:rsidDel="00000000" w:rsidR="00000000" w:rsidRPr="00000000">
              <w:rPr>
                <w:rtl w:val="0"/>
              </w:rPr>
            </w:r>
          </w:p>
        </w:tc>
      </w:tr>
      <w:tr>
        <w:trPr>
          <w:cantSplit w:val="0"/>
          <w:trHeight w:val="762.97851562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E">
            <w:pPr>
              <w:widowControl w:val="0"/>
              <w:spacing w:after="0" w:line="276" w:lineRule="auto"/>
              <w:rPr>
                <w:b w:val="1"/>
                <w:color w:val="0c346f"/>
                <w:sz w:val="23"/>
                <w:szCs w:val="23"/>
              </w:rPr>
            </w:pPr>
            <w:r w:rsidDel="00000000" w:rsidR="00000000" w:rsidRPr="00000000">
              <w:rPr>
                <w:b w:val="1"/>
                <w:color w:val="0c346f"/>
                <w:sz w:val="23"/>
                <w:szCs w:val="23"/>
                <w:rtl w:val="0"/>
              </w:rPr>
              <w:t xml:space="preserve">Chorus</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0F">
            <w:pPr>
              <w:widowControl w:val="0"/>
              <w:spacing w:after="0" w:line="276" w:lineRule="auto"/>
              <w:rPr>
                <w:color w:val="0c346f"/>
                <w:sz w:val="23"/>
                <w:szCs w:val="23"/>
              </w:rPr>
            </w:pPr>
            <w:r w:rsidDel="00000000" w:rsidR="00000000" w:rsidRPr="00000000">
              <w:rPr>
                <w:color w:val="0c346f"/>
                <w:sz w:val="23"/>
                <w:szCs w:val="23"/>
                <w:rtl w:val="0"/>
              </w:rPr>
              <w:t xml:space="preserve">Ms. Bendy &amp; Mrs. Coburn</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0">
            <w:pPr>
              <w:widowControl w:val="0"/>
              <w:spacing w:after="0" w:line="276" w:lineRule="auto"/>
              <w:rPr>
                <w:color w:val="0c346f"/>
                <w:sz w:val="23"/>
                <w:szCs w:val="23"/>
              </w:rPr>
            </w:pPr>
            <w:r w:rsidDel="00000000" w:rsidR="00000000" w:rsidRPr="00000000">
              <w:rPr>
                <w:color w:val="0c346f"/>
                <w:sz w:val="23"/>
                <w:szCs w:val="23"/>
                <w:rtl w:val="0"/>
              </w:rPr>
              <w:t xml:space="preserve">Chorus is a performance based class for students who like to sing. We will sing every day and expect participation from each student in this year long class. We will sing familiar songs, new songs, and songs in foreign languages. Students will learn the fundamentals of singing and music theory to showcase their talents in concerts and festivals throughout the year. </w:t>
            </w:r>
            <w:r w:rsidDel="00000000" w:rsidR="00000000" w:rsidRPr="00000000">
              <w:rPr>
                <w:rtl w:val="0"/>
              </w:rPr>
            </w:r>
          </w:p>
        </w:tc>
      </w:tr>
      <w:tr>
        <w:trPr>
          <w:cantSplit w:val="0"/>
          <w:trHeight w:val="762.97851562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1">
            <w:pPr>
              <w:widowControl w:val="0"/>
              <w:spacing w:after="0" w:line="276" w:lineRule="auto"/>
              <w:rPr>
                <w:b w:val="1"/>
                <w:color w:val="0c346f"/>
                <w:sz w:val="23"/>
                <w:szCs w:val="23"/>
              </w:rPr>
            </w:pPr>
            <w:r w:rsidDel="00000000" w:rsidR="00000000" w:rsidRPr="00000000">
              <w:rPr>
                <w:b w:val="1"/>
                <w:color w:val="0c346f"/>
                <w:sz w:val="23"/>
                <w:szCs w:val="23"/>
                <w:rtl w:val="0"/>
              </w:rPr>
              <w:t xml:space="preserve">Computer Science </w:t>
            </w:r>
          </w:p>
          <w:p w:rsidR="00000000" w:rsidDel="00000000" w:rsidP="00000000" w:rsidRDefault="00000000" w:rsidRPr="00000000" w14:paraId="00000012">
            <w:pPr>
              <w:widowControl w:val="0"/>
              <w:spacing w:after="0" w:line="276" w:lineRule="auto"/>
              <w:rPr>
                <w:b w:val="1"/>
                <w:color w:val="0c346f"/>
                <w:sz w:val="23"/>
                <w:szCs w:val="23"/>
              </w:rPr>
            </w:pPr>
            <w:r w:rsidDel="00000000" w:rsidR="00000000" w:rsidRPr="00000000">
              <w:rPr>
                <w:b w:val="1"/>
                <w:color w:val="0c346f"/>
                <w:sz w:val="23"/>
                <w:szCs w:val="23"/>
                <w:rtl w:val="0"/>
              </w:rPr>
              <w:t xml:space="preserve">(Mandated Class)</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3">
            <w:pPr>
              <w:widowControl w:val="0"/>
              <w:spacing w:after="0" w:line="276" w:lineRule="auto"/>
              <w:rPr>
                <w:color w:val="0c346f"/>
                <w:sz w:val="23"/>
                <w:szCs w:val="23"/>
              </w:rPr>
            </w:pPr>
            <w:r w:rsidDel="00000000" w:rsidR="00000000" w:rsidRPr="00000000">
              <w:rPr>
                <w:color w:val="0c346f"/>
                <w:sz w:val="23"/>
                <w:szCs w:val="23"/>
                <w:rtl w:val="0"/>
              </w:rPr>
              <w:t xml:space="preserve">Mr. Hambrick</w:t>
            </w:r>
            <w:r w:rsidDel="00000000" w:rsidR="00000000" w:rsidRPr="00000000">
              <w:rPr>
                <w:rtl w:val="0"/>
              </w:rPr>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4">
            <w:pPr>
              <w:widowControl w:val="0"/>
              <w:spacing w:after="0" w:line="276" w:lineRule="auto"/>
              <w:rPr>
                <w:color w:val="0c346f"/>
                <w:sz w:val="23"/>
                <w:szCs w:val="23"/>
              </w:rPr>
            </w:pPr>
            <w:r w:rsidDel="00000000" w:rsidR="00000000" w:rsidRPr="00000000">
              <w:rPr>
                <w:color w:val="0c346f"/>
                <w:sz w:val="23"/>
                <w:szCs w:val="23"/>
                <w:rtl w:val="0"/>
              </w:rPr>
              <w:t xml:space="preserve">In this course, students will explore the foundations of computer science using videos, hands-on activities, programming, investigations, and projects. They will learn how computers work and how they communicate with each other via networks. They will be introduced to programming using drag-and-drop preset blocks of code and will write programs using a text-based programming language (Python and/or Java Script) that will make their first coding experiences fun and approachable.</w:t>
            </w:r>
          </w:p>
        </w:tc>
      </w:tr>
      <w:tr>
        <w:trPr>
          <w:cantSplit w:val="0"/>
          <w:trHeight w:val="762.97851562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5">
            <w:pPr>
              <w:widowControl w:val="0"/>
              <w:spacing w:line="276" w:lineRule="auto"/>
              <w:rPr>
                <w:b w:val="1"/>
                <w:color w:val="0c346f"/>
                <w:sz w:val="23"/>
                <w:szCs w:val="23"/>
              </w:rPr>
            </w:pPr>
            <w:r w:rsidDel="00000000" w:rsidR="00000000" w:rsidRPr="00000000">
              <w:rPr>
                <w:b w:val="1"/>
                <w:color w:val="0c346f"/>
                <w:sz w:val="23"/>
                <w:szCs w:val="23"/>
                <w:rtl w:val="0"/>
              </w:rPr>
              <w:t xml:space="preserve">Spanish</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6">
            <w:pPr>
              <w:widowControl w:val="0"/>
              <w:spacing w:line="276" w:lineRule="auto"/>
              <w:rPr>
                <w:color w:val="0c346f"/>
                <w:sz w:val="23"/>
                <w:szCs w:val="23"/>
              </w:rPr>
            </w:pPr>
            <w:r w:rsidDel="00000000" w:rsidR="00000000" w:rsidRPr="00000000">
              <w:rPr>
                <w:color w:val="0c346f"/>
                <w:sz w:val="23"/>
                <w:szCs w:val="23"/>
                <w:rtl w:val="0"/>
              </w:rPr>
              <w:t xml:space="preserve">Mrs. Cornett</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7">
            <w:pPr>
              <w:widowControl w:val="0"/>
              <w:spacing w:after="0" w:line="276" w:lineRule="auto"/>
              <w:ind w:left="0" w:firstLine="0"/>
              <w:rPr>
                <w:color w:val="0c346f"/>
                <w:sz w:val="23"/>
                <w:szCs w:val="23"/>
              </w:rPr>
            </w:pPr>
            <w:r w:rsidDel="00000000" w:rsidR="00000000" w:rsidRPr="00000000">
              <w:rPr>
                <w:color w:val="0c346f"/>
                <w:sz w:val="23"/>
                <w:szCs w:val="23"/>
                <w:rtl w:val="0"/>
              </w:rPr>
              <w:t xml:space="preserve">We study various cultural topics of Spanish-speaking countries and practice basic conversational Spanish skills. Some topics include geography, celebrations, introductions, school supplies, adjectives, numbers and dates. </w:t>
            </w:r>
          </w:p>
        </w:tc>
      </w:tr>
      <w:tr>
        <w:trPr>
          <w:cantSplit w:val="0"/>
          <w:trHeight w:val="762.97851562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8">
            <w:pPr>
              <w:widowControl w:val="0"/>
              <w:spacing w:line="276" w:lineRule="auto"/>
              <w:rPr>
                <w:b w:val="1"/>
                <w:color w:val="0c346f"/>
                <w:sz w:val="23"/>
                <w:szCs w:val="23"/>
              </w:rPr>
            </w:pPr>
            <w:r w:rsidDel="00000000" w:rsidR="00000000" w:rsidRPr="00000000">
              <w:rPr>
                <w:b w:val="1"/>
                <w:color w:val="0c346f"/>
                <w:sz w:val="23"/>
                <w:szCs w:val="23"/>
                <w:rtl w:val="0"/>
              </w:rPr>
              <w:t xml:space="preserve">Health and Safety</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9">
            <w:pPr>
              <w:widowControl w:val="0"/>
              <w:spacing w:line="276" w:lineRule="auto"/>
              <w:rPr>
                <w:color w:val="0c346f"/>
                <w:sz w:val="23"/>
                <w:szCs w:val="23"/>
              </w:rPr>
            </w:pPr>
            <w:r w:rsidDel="00000000" w:rsidR="00000000" w:rsidRPr="00000000">
              <w:rPr>
                <w:color w:val="0c346f"/>
                <w:sz w:val="23"/>
                <w:szCs w:val="23"/>
                <w:rtl w:val="0"/>
              </w:rPr>
              <w:t xml:space="preserve">Ms. Voiles</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A">
            <w:pPr>
              <w:widowControl w:val="0"/>
              <w:spacing w:after="240" w:line="276" w:lineRule="auto"/>
              <w:ind w:left="0" w:firstLine="0"/>
              <w:rPr>
                <w:color w:val="0c346f"/>
                <w:sz w:val="23"/>
                <w:szCs w:val="23"/>
              </w:rPr>
            </w:pPr>
            <w:r w:rsidDel="00000000" w:rsidR="00000000" w:rsidRPr="00000000">
              <w:rPr>
                <w:color w:val="0c346f"/>
                <w:sz w:val="23"/>
                <w:szCs w:val="23"/>
                <w:rtl w:val="0"/>
              </w:rPr>
              <w:t xml:space="preserve">Health and Safety class is designed to help students find a strong sense of self, to be above the influence of teen risk behaviors, to show students how to take responsibility for making healthy choices, and to learn to maintain optimum health and fitness for life. The goal is to help students learn to make wise choices concerning their health, so that they can live a full and productive life.</w:t>
            </w:r>
          </w:p>
        </w:tc>
      </w:tr>
      <w:tr>
        <w:trPr>
          <w:cantSplit w:val="0"/>
          <w:trHeight w:val="762.97851562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B">
            <w:pPr>
              <w:widowControl w:val="0"/>
              <w:spacing w:line="276" w:lineRule="auto"/>
              <w:rPr>
                <w:b w:val="1"/>
                <w:color w:val="0c346f"/>
                <w:sz w:val="23"/>
                <w:szCs w:val="23"/>
              </w:rPr>
            </w:pPr>
            <w:r w:rsidDel="00000000" w:rsidR="00000000" w:rsidRPr="00000000">
              <w:rPr>
                <w:b w:val="1"/>
                <w:color w:val="0c346f"/>
                <w:sz w:val="23"/>
                <w:szCs w:val="23"/>
                <w:rtl w:val="0"/>
              </w:rPr>
              <w:t xml:space="preserve">Library</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C">
            <w:pPr>
              <w:widowControl w:val="0"/>
              <w:spacing w:line="276" w:lineRule="auto"/>
              <w:rPr>
                <w:color w:val="0c346f"/>
                <w:sz w:val="23"/>
                <w:szCs w:val="23"/>
              </w:rPr>
            </w:pPr>
            <w:r w:rsidDel="00000000" w:rsidR="00000000" w:rsidRPr="00000000">
              <w:rPr>
                <w:color w:val="0c346f"/>
                <w:sz w:val="23"/>
                <w:szCs w:val="23"/>
                <w:rtl w:val="0"/>
              </w:rPr>
              <w:t xml:space="preserve">Ms. Johnson &amp; Ms. Witte</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D">
            <w:pPr>
              <w:widowControl w:val="0"/>
              <w:spacing w:after="240" w:line="276" w:lineRule="auto"/>
              <w:rPr>
                <w:color w:val="0c346f"/>
                <w:sz w:val="23"/>
                <w:szCs w:val="23"/>
              </w:rPr>
            </w:pPr>
            <w:r w:rsidDel="00000000" w:rsidR="00000000" w:rsidRPr="00000000">
              <w:rPr>
                <w:color w:val="0c346f"/>
                <w:sz w:val="23"/>
                <w:szCs w:val="23"/>
                <w:rtl w:val="0"/>
              </w:rPr>
              <w:t xml:space="preserve">Students will visit the library with their ELA classes in 6th grade, and are also able to visit independently. A Yearbook class is offered to 8th graders through the library.</w:t>
            </w:r>
          </w:p>
        </w:tc>
      </w:tr>
      <w:tr>
        <w:trPr>
          <w:cantSplit w:val="0"/>
          <w:trHeight w:val="1835.74584960937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E">
            <w:pPr>
              <w:widowControl w:val="0"/>
              <w:spacing w:line="276" w:lineRule="auto"/>
              <w:rPr>
                <w:b w:val="1"/>
                <w:color w:val="0c346f"/>
                <w:sz w:val="23"/>
                <w:szCs w:val="23"/>
              </w:rPr>
            </w:pPr>
            <w:r w:rsidDel="00000000" w:rsidR="00000000" w:rsidRPr="00000000">
              <w:rPr>
                <w:b w:val="1"/>
                <w:color w:val="0c346f"/>
                <w:sz w:val="23"/>
                <w:szCs w:val="23"/>
                <w:rtl w:val="0"/>
              </w:rPr>
              <w:t xml:space="preserve">Orchestra </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1F">
            <w:pPr>
              <w:widowControl w:val="0"/>
              <w:spacing w:line="276" w:lineRule="auto"/>
              <w:rPr>
                <w:color w:val="0c346f"/>
                <w:sz w:val="23"/>
                <w:szCs w:val="23"/>
              </w:rPr>
            </w:pPr>
            <w:r w:rsidDel="00000000" w:rsidR="00000000" w:rsidRPr="00000000">
              <w:rPr>
                <w:color w:val="0c346f"/>
                <w:sz w:val="23"/>
                <w:szCs w:val="23"/>
                <w:rtl w:val="0"/>
              </w:rPr>
              <w:t xml:space="preserve">Ms. Gantt</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20">
            <w:pPr>
              <w:widowControl w:val="0"/>
              <w:spacing w:after="0" w:line="276" w:lineRule="auto"/>
              <w:ind w:left="0" w:firstLine="0"/>
              <w:rPr>
                <w:color w:val="0c346f"/>
                <w:sz w:val="23"/>
                <w:szCs w:val="23"/>
              </w:rPr>
            </w:pPr>
            <w:r w:rsidDel="00000000" w:rsidR="00000000" w:rsidRPr="00000000">
              <w:rPr>
                <w:color w:val="0c346f"/>
                <w:sz w:val="23"/>
                <w:szCs w:val="23"/>
                <w:rtl w:val="0"/>
              </w:rPr>
              <w:t xml:space="preserve">Orchestra is where students come to explore the string family of instruments: violin, viola, cello, and bass! Students will learn how to perform on their chosen instrument through book exercises, games, and fun songs. No experience required! Students will have two performances during this year-long course for families to hear their students’ musical development. </w:t>
            </w:r>
          </w:p>
        </w:tc>
      </w:tr>
      <w:tr>
        <w:trPr>
          <w:cantSplit w:val="0"/>
          <w:trHeight w:val="762.978515625" w:hRule="atLeast"/>
          <w:tblHeader w:val="0"/>
        </w:trPr>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21">
            <w:pPr>
              <w:widowControl w:val="0"/>
              <w:spacing w:line="276" w:lineRule="auto"/>
              <w:rPr>
                <w:b w:val="1"/>
                <w:color w:val="0c346f"/>
                <w:sz w:val="23"/>
                <w:szCs w:val="23"/>
              </w:rPr>
            </w:pPr>
            <w:r w:rsidDel="00000000" w:rsidR="00000000" w:rsidRPr="00000000">
              <w:rPr>
                <w:b w:val="1"/>
                <w:color w:val="0c346f"/>
                <w:sz w:val="23"/>
                <w:szCs w:val="23"/>
                <w:rtl w:val="0"/>
              </w:rPr>
              <w:t xml:space="preserve">P.E. (Physical Education)</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22">
            <w:pPr>
              <w:widowControl w:val="0"/>
              <w:spacing w:line="276" w:lineRule="auto"/>
              <w:rPr>
                <w:color w:val="0c346f"/>
                <w:sz w:val="23"/>
                <w:szCs w:val="23"/>
              </w:rPr>
            </w:pPr>
            <w:r w:rsidDel="00000000" w:rsidR="00000000" w:rsidRPr="00000000">
              <w:rPr>
                <w:color w:val="0c346f"/>
                <w:sz w:val="23"/>
                <w:szCs w:val="23"/>
                <w:rtl w:val="0"/>
              </w:rPr>
              <w:t xml:space="preserve">Mr. Cleer, Ms. McIntyre, Mr. Mink, &amp; Ms. Maples</w:t>
            </w:r>
          </w:p>
        </w:tc>
        <w:tc>
          <w:tcPr>
            <w:tcBorders>
              <w:left w:color="000000" w:space="0" w:sz="0" w:val="nil"/>
              <w:right w:color="000000" w:space="0" w:sz="0" w:val="nil"/>
            </w:tcBorders>
            <w:tcMar>
              <w:top w:w="140.0" w:type="dxa"/>
              <w:left w:w="140.0" w:type="dxa"/>
              <w:bottom w:w="140.0" w:type="dxa"/>
              <w:right w:w="140.0" w:type="dxa"/>
            </w:tcMar>
            <w:vAlign w:val="top"/>
          </w:tcPr>
          <w:p w:rsidR="00000000" w:rsidDel="00000000" w:rsidP="00000000" w:rsidRDefault="00000000" w:rsidRPr="00000000" w14:paraId="00000023">
            <w:pPr>
              <w:widowControl w:val="0"/>
              <w:shd w:fill="ffffff" w:val="clear"/>
              <w:spacing w:after="180" w:before="180" w:lineRule="auto"/>
              <w:rPr>
                <w:color w:val="0c346f"/>
                <w:sz w:val="23"/>
                <w:szCs w:val="23"/>
              </w:rPr>
            </w:pPr>
            <w:r w:rsidDel="00000000" w:rsidR="00000000" w:rsidRPr="00000000">
              <w:rPr>
                <w:color w:val="0c346f"/>
                <w:sz w:val="23"/>
                <w:szCs w:val="23"/>
                <w:rtl w:val="0"/>
              </w:rPr>
              <w:t xml:space="preserve">We provide a diversified program of developmentally appropriate activities, team sports, non-traditional games, conditioning, movement, and rhythms suited to the capacities and limitations of all students, regardless of size, coordination, body type, or other physical capabilities.</w:t>
            </w:r>
          </w:p>
        </w:tc>
      </w:tr>
    </w:tbl>
    <w:p w:rsidR="00000000" w:rsidDel="00000000" w:rsidP="00000000" w:rsidRDefault="00000000" w:rsidRPr="00000000" w14:paraId="00000024">
      <w:pPr>
        <w:spacing w:after="0" w:line="240" w:lineRule="auto"/>
        <w:rPr>
          <w:color w:val="0c346f"/>
          <w:sz w:val="23"/>
          <w:szCs w:val="23"/>
        </w:rPr>
      </w:pPr>
      <w:r w:rsidDel="00000000" w:rsidR="00000000" w:rsidRPr="00000000">
        <w:rPr>
          <w:rtl w:val="0"/>
        </w:rPr>
      </w:r>
    </w:p>
    <w:sectPr>
      <w:pgSz w:h="12240" w:w="15840" w:orient="landscape"/>
      <w:pgMar w:bottom="1008" w:top="100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